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24B" w:rsidRDefault="0057524B" w:rsidP="0057524B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FF5200"/>
          <w:sz w:val="36"/>
          <w:szCs w:val="36"/>
        </w:rPr>
      </w:pPr>
      <w:r>
        <w:rPr>
          <w:rFonts w:ascii="Verdana-Bold" w:hAnsi="Verdana-Bold" w:cs="Verdana-Bold"/>
          <w:b/>
          <w:bCs/>
          <w:color w:val="FF5200"/>
          <w:sz w:val="36"/>
          <w:szCs w:val="36"/>
        </w:rPr>
        <w:t xml:space="preserve">Požadované parametry </w:t>
      </w:r>
      <w:proofErr w:type="spellStart"/>
      <w:r>
        <w:rPr>
          <w:rFonts w:ascii="Verdana-Bold" w:hAnsi="Verdana-Bold" w:cs="Verdana-Bold"/>
          <w:b/>
          <w:bCs/>
          <w:color w:val="FF5200"/>
          <w:sz w:val="36"/>
          <w:szCs w:val="36"/>
        </w:rPr>
        <w:t>MaR</w:t>
      </w:r>
      <w:proofErr w:type="spellEnd"/>
      <w:r>
        <w:rPr>
          <w:rFonts w:ascii="Verdana-Bold" w:hAnsi="Verdana-Bold" w:cs="Verdana-Bold"/>
          <w:b/>
          <w:bCs/>
          <w:color w:val="FF5200"/>
          <w:sz w:val="36"/>
          <w:szCs w:val="36"/>
        </w:rPr>
        <w:t xml:space="preserve"> pro</w:t>
      </w:r>
      <w:r>
        <w:rPr>
          <w:rFonts w:ascii="Verdana-Bold" w:hAnsi="Verdana-Bold" w:cs="Verdana-Bold"/>
          <w:b/>
          <w:bCs/>
          <w:color w:val="FF5200"/>
          <w:sz w:val="36"/>
          <w:szCs w:val="36"/>
        </w:rPr>
        <w:t xml:space="preserve"> </w:t>
      </w:r>
      <w:r>
        <w:rPr>
          <w:rFonts w:ascii="Verdana-Bold" w:hAnsi="Verdana-Bold" w:cs="Verdana-Bold"/>
          <w:b/>
          <w:bCs/>
          <w:color w:val="FF5200"/>
          <w:sz w:val="36"/>
          <w:szCs w:val="36"/>
        </w:rPr>
        <w:t xml:space="preserve">implementaci do infrastruktury SŽ </w:t>
      </w:r>
    </w:p>
    <w:p w:rsidR="0057524B" w:rsidRDefault="0057524B" w:rsidP="0057524B">
      <w:pPr>
        <w:autoSpaceDE w:val="0"/>
        <w:autoSpaceDN w:val="0"/>
        <w:adjustRightInd w:val="0"/>
        <w:spacing w:after="0" w:line="240" w:lineRule="auto"/>
        <w:rPr>
          <w:rFonts w:cs="Verdana"/>
          <w:color w:val="000000"/>
          <w:sz w:val="18"/>
          <w:szCs w:val="18"/>
        </w:rPr>
      </w:pPr>
    </w:p>
    <w:p w:rsidR="0057524B" w:rsidRDefault="0057524B" w:rsidP="0057524B">
      <w:pPr>
        <w:autoSpaceDE w:val="0"/>
        <w:autoSpaceDN w:val="0"/>
        <w:adjustRightInd w:val="0"/>
        <w:spacing w:after="120" w:line="240" w:lineRule="auto"/>
        <w:rPr>
          <w:rFonts w:ascii="Verdana-Bold" w:hAnsi="Verdana-Bold" w:cs="Verdana-Bold"/>
          <w:b/>
          <w:bCs/>
          <w:color w:val="00A2E1"/>
          <w:sz w:val="24"/>
          <w:szCs w:val="24"/>
        </w:rPr>
      </w:pPr>
      <w:r>
        <w:rPr>
          <w:rFonts w:ascii="Verdana-Bold" w:hAnsi="Verdana-Bold" w:cs="Verdana-Bold"/>
          <w:b/>
          <w:bCs/>
          <w:color w:val="00A2E1"/>
          <w:sz w:val="24"/>
          <w:szCs w:val="24"/>
        </w:rPr>
        <w:t>Řídicí systém</w:t>
      </w:r>
      <w:r>
        <w:rPr>
          <w:rFonts w:ascii="Verdana-Bold" w:hAnsi="Verdana-Bold" w:cs="Verdana-Bold"/>
          <w:b/>
          <w:bCs/>
          <w:color w:val="00A2E1"/>
          <w:sz w:val="24"/>
          <w:szCs w:val="24"/>
        </w:rPr>
        <w:t>: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Pro řízení a monitoring stavů a ovládání zařízení bude použit volně programovatelný řídicí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systém se vstupně výstupními moduly s komunikací po sběrnici např. </w:t>
      </w:r>
      <w:proofErr w:type="spellStart"/>
      <w:r w:rsidRPr="0057524B">
        <w:rPr>
          <w:rFonts w:cs="Verdana"/>
          <w:color w:val="000000"/>
          <w:sz w:val="18"/>
          <w:szCs w:val="18"/>
        </w:rPr>
        <w:t>Ethernet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Na rozvaděčích bude umístěn grafický panel/PC. Panel bude vizualizovat ovládané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technologie a umožňovat zadávání požadovaných parametrů.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Ve velínu bude umístěna stanice s kompletní grafickou nadstavbu pro vizualizaci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systému, poruchových a provozních hlášení, databáze alarmů.  Stanice bude připojena ve stejném rozsahu IP adres a do stejné sítě jako řídící prvky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Řídicí systém bude otevřený bez dodatečných pravidelných nákladů za softwarové nebo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provozovací licence.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Dodavatel poskytne v rámci RDS (realizační dokumentace stavby) veškerá data, nutná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pro servis a provozování systému, včetně aktuálních zdrojových kódů SW včetně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funkčního SW + HW prostředí, přístupových údajů, licencí atd.  Ke zdrojovým kódům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dodavatel poskytne dokumentaci, minimálně ve formě architektonické, funkční a blokové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schéma, včetně definice všech použitých API a protokolů, použitého datového modelu a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dokumentaci k použitým souborovým typům.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Komunikace bude probíhat pomocí standardních protokolů, případně protokolů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s kompletní dokumentací. Preferován je protokol </w:t>
      </w:r>
      <w:proofErr w:type="spellStart"/>
      <w:r w:rsidRPr="0057524B">
        <w:rPr>
          <w:rFonts w:cs="Verdana"/>
          <w:color w:val="000000"/>
          <w:sz w:val="18"/>
          <w:szCs w:val="18"/>
        </w:rPr>
        <w:t>Modbus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v síti </w:t>
      </w:r>
      <w:proofErr w:type="spellStart"/>
      <w:r w:rsidRPr="0057524B">
        <w:rPr>
          <w:rFonts w:cs="Verdana"/>
          <w:color w:val="000000"/>
          <w:sz w:val="18"/>
          <w:szCs w:val="18"/>
        </w:rPr>
        <w:t>Ethernet</w:t>
      </w:r>
      <w:proofErr w:type="spellEnd"/>
      <w:r w:rsidRPr="0057524B">
        <w:rPr>
          <w:rFonts w:cs="Verdana"/>
          <w:color w:val="000000"/>
          <w:sz w:val="18"/>
          <w:szCs w:val="18"/>
        </w:rPr>
        <w:t>. Komunikace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musí probíhat pomocí zadavatelem schválených protokolů. Preferovány jsou protokoly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definované v TS2/2008. Z hlediska připojení prvků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bude uplatněna Směrnice SŽDC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č. 34 pro uvádění do provozu výrobků, které jsou součástí sdělovacích a zabezpečovacích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zařízení a zařízení elektrotechniky a energetiky na železniční dopravní cestě ve vlastnictví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státu státní organizace Správa železniční dopravní cesty ve znění změny č. 1.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 xml:space="preserve">Dodavatel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poskytne podklady (schémata, tabulky dat, seznamy hodnot) - a to i v elektronické podobě – pro možnou integraci systému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do centrální vizualizace.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Jednotlivé technologie budov (VZT, kotle, tepelná čerpadla atd.) budou řízena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z centrálního systému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>Dodavatel technologie poskytne potřebnou dokumentaci (adresování, komunikační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tabulky) a součinnost při uvádění do provozu. Centralizace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je realizována v</w:t>
      </w:r>
      <w:r w:rsidRPr="0057524B">
        <w:rPr>
          <w:rFonts w:cs="Verdana"/>
          <w:color w:val="000000"/>
          <w:sz w:val="18"/>
          <w:szCs w:val="18"/>
        </w:rPr>
        <w:t> </w:t>
      </w:r>
      <w:r w:rsidRPr="0057524B">
        <w:rPr>
          <w:rFonts w:cs="Verdana"/>
          <w:color w:val="000000"/>
          <w:sz w:val="18"/>
          <w:szCs w:val="18"/>
        </w:rPr>
        <w:t>rámci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jednoho objektu. A dále se přes DDTS centralizuje dálkový dohled/obsluha z např. OŘ.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 w:rsidRPr="0057524B">
        <w:rPr>
          <w:rFonts w:cs="Verdana"/>
          <w:color w:val="000000"/>
          <w:sz w:val="18"/>
          <w:szCs w:val="18"/>
        </w:rPr>
        <w:t xml:space="preserve">Jednotlivé prvky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včetně řídicích stanic, komunikující prostřednictví TCP/IP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protokolu, budou mít vlastní datovou síť bez přístupu ven. Adresný rozsah bude přidělený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SŽ O14. Napojení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na systém DDTS, kam budou přenášeny definované stavové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informace a zpětně vybrané povely, bude realizován prostřednictvím PLC (bude součástí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dodávky) na který bude </w:t>
      </w:r>
      <w:proofErr w:type="spellStart"/>
      <w:r w:rsidRPr="0057524B">
        <w:rPr>
          <w:rFonts w:cs="Verdana"/>
          <w:color w:val="000000"/>
          <w:sz w:val="18"/>
          <w:szCs w:val="18"/>
        </w:rPr>
        <w:t>MaR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připojeno prostřednictvím rozhraní RS-485 a komunikovat bude prostřednictvím protokolu </w:t>
      </w:r>
      <w:proofErr w:type="spellStart"/>
      <w:r w:rsidRPr="0057524B">
        <w:rPr>
          <w:rFonts w:cs="Verdana"/>
          <w:color w:val="000000"/>
          <w:sz w:val="18"/>
          <w:szCs w:val="18"/>
        </w:rPr>
        <w:t>ModBuS</w:t>
      </w:r>
      <w:proofErr w:type="spellEnd"/>
      <w:r w:rsidRPr="0057524B">
        <w:rPr>
          <w:rFonts w:cs="Verdana"/>
          <w:color w:val="000000"/>
          <w:sz w:val="18"/>
          <w:szCs w:val="18"/>
        </w:rPr>
        <w:t xml:space="preserve"> RTU. Nastavení připojení, komunikace a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přenosu signálů je třeba řešit s příslušným dodavatelem platformy DDTS pro danou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 xml:space="preserve">oblast. </w:t>
      </w:r>
    </w:p>
    <w:p w:rsidR="0057524B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2"/>
          <w:szCs w:val="2"/>
        </w:rPr>
      </w:pPr>
      <w:r w:rsidRPr="0057524B">
        <w:rPr>
          <w:rFonts w:ascii="ArialMT" w:hAnsi="ArialMT" w:cs="ArialMT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Systém musí být připraven na další potenciální rozšiřování – integraci jiných technologií</w:t>
      </w:r>
      <w:r w:rsidRPr="0057524B">
        <w:rPr>
          <w:rFonts w:cs="Verdana"/>
          <w:color w:val="000000"/>
          <w:sz w:val="18"/>
          <w:szCs w:val="18"/>
        </w:rPr>
        <w:t xml:space="preserve"> </w:t>
      </w:r>
      <w:r w:rsidRPr="0057524B">
        <w:rPr>
          <w:rFonts w:cs="Verdana"/>
          <w:color w:val="000000"/>
          <w:sz w:val="18"/>
          <w:szCs w:val="18"/>
        </w:rPr>
        <w:t>přes komunikační rozhraní (API), které poskytnou jejich dodavatelé.</w:t>
      </w:r>
    </w:p>
    <w:p w:rsid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>
        <w:rPr>
          <w:rFonts w:cs="Verdana"/>
          <w:color w:val="000000"/>
          <w:sz w:val="18"/>
          <w:szCs w:val="18"/>
        </w:rPr>
        <w:t xml:space="preserve">Pro možnou integraci </w:t>
      </w:r>
      <w:proofErr w:type="spellStart"/>
      <w:r>
        <w:rPr>
          <w:rFonts w:cs="Verdana"/>
          <w:color w:val="000000"/>
          <w:sz w:val="18"/>
          <w:szCs w:val="18"/>
        </w:rPr>
        <w:t>MaR</w:t>
      </w:r>
      <w:proofErr w:type="spellEnd"/>
      <w:r>
        <w:rPr>
          <w:rFonts w:cs="Verdana"/>
          <w:color w:val="000000"/>
          <w:sz w:val="18"/>
          <w:szCs w:val="18"/>
        </w:rPr>
        <w:t xml:space="preserve"> s jinou externí aplikací </w:t>
      </w:r>
      <w:bookmarkStart w:id="0" w:name="_GoBack"/>
      <w:bookmarkEnd w:id="0"/>
      <w:r>
        <w:rPr>
          <w:rFonts w:cs="Verdana"/>
          <w:color w:val="000000"/>
          <w:sz w:val="18"/>
          <w:szCs w:val="18"/>
        </w:rPr>
        <w:t>je v tomto případě požadována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>přítomnost API rozhraní, ke které bude dodána kompletní dokumentace nutná pro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 xml:space="preserve">vzájemné propojení. </w:t>
      </w:r>
    </w:p>
    <w:p w:rsidR="003727EC" w:rsidRPr="0057524B" w:rsidRDefault="0057524B" w:rsidP="0057524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Verdana"/>
          <w:color w:val="000000"/>
          <w:sz w:val="18"/>
          <w:szCs w:val="18"/>
        </w:rPr>
      </w:pPr>
      <w:r>
        <w:rPr>
          <w:rFonts w:cs="Verdana"/>
          <w:color w:val="000000"/>
          <w:sz w:val="18"/>
          <w:szCs w:val="18"/>
        </w:rPr>
        <w:t xml:space="preserve">Systém </w:t>
      </w:r>
      <w:proofErr w:type="spellStart"/>
      <w:r>
        <w:rPr>
          <w:rFonts w:cs="Verdana"/>
          <w:color w:val="000000"/>
          <w:sz w:val="18"/>
          <w:szCs w:val="18"/>
        </w:rPr>
        <w:t>MaR</w:t>
      </w:r>
      <w:proofErr w:type="spellEnd"/>
      <w:r>
        <w:rPr>
          <w:rFonts w:cs="Verdana"/>
          <w:color w:val="000000"/>
          <w:sz w:val="18"/>
          <w:szCs w:val="18"/>
        </w:rPr>
        <w:t xml:space="preserve"> bude vybaven z důvodu normalizace dat rozhraním pro </w:t>
      </w:r>
      <w:proofErr w:type="spellStart"/>
      <w:r>
        <w:rPr>
          <w:rFonts w:cs="Verdana"/>
          <w:color w:val="000000"/>
          <w:sz w:val="18"/>
          <w:szCs w:val="18"/>
        </w:rPr>
        <w:t>IoT</w:t>
      </w:r>
      <w:proofErr w:type="spellEnd"/>
      <w:r>
        <w:rPr>
          <w:rFonts w:cs="Verdana"/>
          <w:color w:val="000000"/>
          <w:sz w:val="18"/>
          <w:szCs w:val="18"/>
        </w:rPr>
        <w:t xml:space="preserve"> (internet věcí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 xml:space="preserve">pro manažerské zpracování na úrovni OŘ, GŘ s využitím technologie </w:t>
      </w:r>
      <w:proofErr w:type="spellStart"/>
      <w:r>
        <w:rPr>
          <w:rFonts w:cs="Verdana"/>
          <w:color w:val="000000"/>
          <w:sz w:val="18"/>
          <w:szCs w:val="18"/>
        </w:rPr>
        <w:t>IoT</w:t>
      </w:r>
      <w:proofErr w:type="spellEnd"/>
      <w:r>
        <w:rPr>
          <w:rFonts w:cs="Verdana"/>
          <w:color w:val="000000"/>
          <w:sz w:val="18"/>
          <w:szCs w:val="18"/>
        </w:rPr>
        <w:t xml:space="preserve"> Smart Station).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>Komunikace např. protokolem MQTT. Zdrojem telemetrických dat bude každé PLC,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>popřípadě řídící jednotka, komunikující protokolem MQTT nebo HTTP (formát JSON).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 xml:space="preserve">Systém </w:t>
      </w:r>
      <w:proofErr w:type="spellStart"/>
      <w:r>
        <w:rPr>
          <w:rFonts w:cs="Verdana"/>
          <w:color w:val="000000"/>
          <w:sz w:val="18"/>
          <w:szCs w:val="18"/>
        </w:rPr>
        <w:t>MaR</w:t>
      </w:r>
      <w:proofErr w:type="spellEnd"/>
      <w:r>
        <w:rPr>
          <w:rFonts w:cs="Verdana"/>
          <w:color w:val="000000"/>
          <w:sz w:val="18"/>
          <w:szCs w:val="18"/>
        </w:rPr>
        <w:t xml:space="preserve"> získává telemetrická data prostřednictvím (I/O) modulů monitorující nebo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 xml:space="preserve">ovládající různé periferie, kdy pro komunikaci je využívána platforma </w:t>
      </w:r>
      <w:proofErr w:type="spellStart"/>
      <w:r>
        <w:rPr>
          <w:rFonts w:cs="Verdana"/>
          <w:color w:val="000000"/>
          <w:sz w:val="18"/>
          <w:szCs w:val="18"/>
        </w:rPr>
        <w:t>IoT</w:t>
      </w:r>
      <w:proofErr w:type="spellEnd"/>
      <w:r>
        <w:rPr>
          <w:rFonts w:cs="Verdana"/>
          <w:color w:val="000000"/>
          <w:sz w:val="18"/>
          <w:szCs w:val="18"/>
        </w:rPr>
        <w:t xml:space="preserve"> při užití</w:t>
      </w:r>
      <w:r>
        <w:rPr>
          <w:rFonts w:cs="Verdana"/>
          <w:color w:val="000000"/>
          <w:sz w:val="18"/>
          <w:szCs w:val="18"/>
        </w:rPr>
        <w:t xml:space="preserve"> </w:t>
      </w:r>
      <w:r>
        <w:rPr>
          <w:rFonts w:cs="Verdana"/>
          <w:color w:val="000000"/>
          <w:sz w:val="18"/>
          <w:szCs w:val="18"/>
        </w:rPr>
        <w:t>protokolu MQTT.</w:t>
      </w:r>
    </w:p>
    <w:sectPr w:rsidR="003727EC" w:rsidRPr="00575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855FE"/>
    <w:multiLevelType w:val="hybridMultilevel"/>
    <w:tmpl w:val="66F08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4B"/>
    <w:rsid w:val="00127826"/>
    <w:rsid w:val="003727EC"/>
    <w:rsid w:val="0057524B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F5E0"/>
  <w15:chartTrackingRefBased/>
  <w15:docId w15:val="{712F8387-D23C-4447-9D62-165D9094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538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Míka Tomáš, DiS.</dc:creator>
  <cp:keywords/>
  <dc:description/>
  <cp:lastModifiedBy>Míka Tomáš, DiS.</cp:lastModifiedBy>
  <cp:revision>1</cp:revision>
  <dcterms:created xsi:type="dcterms:W3CDTF">2024-12-02T07:44:00Z</dcterms:created>
  <dcterms:modified xsi:type="dcterms:W3CDTF">2024-12-02T07:53:00Z</dcterms:modified>
</cp:coreProperties>
</file>